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emf" ContentType="image/x-emf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10065" w:type="dxa"/>
        <w:tblInd w:w="108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single" w:color="000000" w:sz="4" w:space="0"/>
          <w:insideV w:val="none" w:color="000000" w:sz="0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337"/>
        <w:gridCol w:w="1134"/>
        <w:gridCol w:w="4594"/>
      </w:tblGrid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single" w:color="000000" w:sz="4" w:space="0"/>
            <w:insideV w:val="single" w:color="000000" w:sz="4" w:space="0"/>
          </w:tblBorders>
        </w:tblPrEx>
        <w:trPr>
          <w:trHeight w:val="1842"/>
        </w:trPr>
        <w:tc>
          <w:tcPr>
            <w:gridSpan w:val="3"/>
            <w:tcBorders>
              <w:bottom w:val="single" w:color="000000" w:sz="4" w:space="0"/>
            </w:tcBorders>
            <w:tcW w:w="10065" w:type="dxa"/>
            <w:vAlign w:val="center"/>
            <w:textDirection w:val="lrTb"/>
            <w:noWrap w:val="false"/>
          </w:tcPr>
          <w:p>
            <w:pPr>
              <w:pStyle w:val="703"/>
              <w:ind w:left="57" w:right="57"/>
              <w:jc w:val="center"/>
              <w:spacing w:line="300" w:lineRule="exact"/>
              <w:rPr>
                <w:caps/>
                <w:sz w:val="28"/>
                <w:szCs w:val="28"/>
                <w:lang w:val="en-US"/>
              </w:rPr>
            </w:pPr>
            <w:r>
              <w:rPr>
                <w:caps/>
                <w:sz w:val="28"/>
                <w:szCs w:val="28"/>
                <w:lang w:val="en-US"/>
              </w:rPr>
            </w:r>
            <w:r>
              <w:rPr>
                <w:caps/>
                <w:sz w:val="28"/>
                <w:szCs w:val="28"/>
                <w:lang w:val="en-US"/>
              </w:rPr>
            </w:r>
          </w:p>
          <w:p>
            <w:pPr>
              <w:pStyle w:val="703"/>
              <w:ind w:left="57" w:right="57"/>
              <w:jc w:val="center"/>
              <w:spacing w:line="300" w:lineRule="exact"/>
              <w:rPr>
                <w:caps/>
                <w:sz w:val="28"/>
                <w:szCs w:val="28"/>
                <w:lang w:val="be-BY"/>
              </w:rPr>
            </w:pPr>
            <w:r>
              <w:rPr>
                <w:caps/>
                <w:sz w:val="28"/>
                <w:szCs w:val="28"/>
                <w:lang w:val="be-BY"/>
              </w:rPr>
            </w:r>
            <w:r>
              <w:rPr>
                <w:caps/>
                <w:sz w:val="28"/>
                <w:szCs w:val="28"/>
                <w:lang w:val="be-BY"/>
              </w:rPr>
            </w:r>
          </w:p>
          <w:p>
            <w:pPr>
              <w:pStyle w:val="703"/>
              <w:ind w:left="57" w:right="57"/>
              <w:jc w:val="center"/>
              <w:spacing w:line="300" w:lineRule="exact"/>
              <w:rPr>
                <w:caps/>
                <w:sz w:val="28"/>
                <w:szCs w:val="28"/>
                <w:lang w:val="be-BY"/>
              </w:rPr>
            </w:pPr>
            <w:r>
              <w:rPr>
                <w:caps/>
                <w:sz w:val="28"/>
                <w:szCs w:val="28"/>
                <w:lang w:val="be-BY"/>
              </w:rPr>
            </w:r>
            <w:r>
              <w:rPr>
                <w:caps/>
                <w:sz w:val="28"/>
                <w:szCs w:val="28"/>
                <w:lang w:val="be-BY"/>
              </w:rPr>
            </w:r>
          </w:p>
          <w:p>
            <w:pPr>
              <w:pStyle w:val="703"/>
              <w:ind w:left="57" w:right="57"/>
              <w:jc w:val="center"/>
              <w:spacing w:line="22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703"/>
              <w:ind w:left="57" w:right="57"/>
              <w:jc w:val="center"/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03"/>
              <w:ind w:left="57" w:right="57"/>
              <w:jc w:val="center"/>
              <w:spacing w:line="220" w:lineRule="exact"/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</w:r>
            <w:r>
              <w:rPr>
                <w:caps/>
                <w:sz w:val="20"/>
                <w:szCs w:val="20"/>
              </w:rPr>
            </w:r>
          </w:p>
          <w:p>
            <w:pPr>
              <w:pStyle w:val="703"/>
              <w:ind w:left="57" w:right="57"/>
              <w:jc w:val="center"/>
              <w:spacing w:line="240" w:lineRule="exact"/>
            </w:pPr>
            <w:r/>
            <w:r/>
          </w:p>
          <w:p>
            <w:pPr>
              <w:pStyle w:val="703"/>
              <w:ind w:left="57" w:right="57"/>
              <w:jc w:val="center"/>
              <w:spacing w:line="220" w:lineRule="exact"/>
              <w:rPr>
                <w:caps/>
                <w:sz w:val="16"/>
                <w:szCs w:val="16"/>
              </w:rPr>
            </w:pPr>
            <w:r>
              <w:rPr>
                <w:caps/>
                <w:sz w:val="16"/>
                <w:szCs w:val="16"/>
              </w:rPr>
            </w:r>
            <w:r>
              <w:rPr>
                <w:caps/>
                <w:sz w:val="16"/>
                <w:szCs w:val="16"/>
              </w:rPr>
            </w:r>
          </w:p>
          <w:p>
            <w:pPr>
              <w:pStyle w:val="703"/>
              <w:ind w:left="57" w:right="57"/>
              <w:jc w:val="center"/>
              <w:spacing w:line="220" w:lineRule="exact"/>
              <w:rPr>
                <w:caps/>
                <w:sz w:val="16"/>
                <w:szCs w:val="16"/>
              </w:rPr>
            </w:pPr>
            <w:r>
              <w:rPr>
                <w:caps/>
                <w:sz w:val="16"/>
                <w:szCs w:val="16"/>
              </w:rPr>
            </w:r>
            <w:r>
              <w:rPr>
                <w:caps/>
                <w:sz w:val="16"/>
                <w:szCs w:val="16"/>
              </w:rPr>
            </w:r>
          </w:p>
          <w:p>
            <w:pPr>
              <w:pStyle w:val="703"/>
              <w:spacing w:line="220" w:lineRule="exact"/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</w:r>
            <w:r>
              <w:rPr>
                <w:caps/>
                <w:sz w:val="20"/>
                <w:szCs w:val="20"/>
              </w:rPr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single" w:color="000000" w:sz="4" w:space="0"/>
            <w:insideV w:val="single" w:color="000000" w:sz="4" w:space="0"/>
          </w:tblBorders>
        </w:tblPrEx>
        <w:trPr>
          <w:trHeight w:val="1134"/>
        </w:trPr>
        <w:tc>
          <w:tcPr>
            <w:gridSpan w:val="3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65" w:type="dxa"/>
            <w:vAlign w:val="top"/>
            <w:textDirection w:val="lrTb"/>
            <w:noWrap w:val="false"/>
          </w:tcPr>
          <w:p>
            <w:pPr>
              <w:pStyle w:val="703"/>
              <w:ind w:right="57"/>
              <w:spacing w:line="22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  <w:p>
            <w:pPr>
              <w:pStyle w:val="703"/>
              <w:ind w:right="57"/>
              <w:spacing w:line="30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ПРИКАЗ     </w:t>
            </w:r>
            <w:r>
              <w:rPr>
                <w:b/>
                <w:sz w:val="28"/>
                <w:szCs w:val="28"/>
              </w:rPr>
              <w:t xml:space="preserve">         </w:t>
            </w:r>
            <w:r>
              <w:rPr>
                <w:b/>
                <w:sz w:val="28"/>
                <w:szCs w:val="28"/>
              </w:rPr>
              <w:t xml:space="preserve">                                                    БОЕРЫК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  <w:p>
            <w:pPr>
              <w:pStyle w:val="703"/>
              <w:ind w:right="57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703"/>
              <w:ind w:right="57"/>
              <w:spacing w:line="3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>
              <w:rPr>
                <w:sz w:val="28"/>
                <w:szCs w:val="28"/>
              </w:rPr>
              <w:t xml:space="preserve">_</w:t>
            </w:r>
            <w:r>
              <w:rPr>
                <w:sz w:val="28"/>
                <w:szCs w:val="28"/>
              </w:rPr>
              <w:t xml:space="preserve">______________</w:t>
            </w:r>
            <w:r>
              <w:rPr>
                <w:sz w:val="28"/>
                <w:szCs w:val="28"/>
              </w:rPr>
              <w:t xml:space="preserve">                  </w:t>
            </w:r>
            <w:r>
              <w:rPr>
                <w:szCs w:val="28"/>
              </w:rPr>
              <w:t xml:space="preserve">г. Казань</w:t>
            </w:r>
            <w:r>
              <w:rPr>
                <w:sz w:val="22"/>
                <w:szCs w:val="28"/>
              </w:rPr>
              <w:t xml:space="preserve">                     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№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703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pStyle w:val="703"/>
        <w:tabs>
          <w:tab w:val="left" w:pos="2127" w:leader="none"/>
          <w:tab w:val="left" w:pos="2694" w:leader="none"/>
          <w:tab w:val="left" w:pos="3402" w:leader="none"/>
        </w:tabs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1" behindDoc="0" locked="0" layoutInCell="1" allowOverlap="1">
                <wp:simplePos x="0" y="0"/>
                <wp:positionH relativeFrom="column">
                  <wp:posOffset>2694940</wp:posOffset>
                </wp:positionH>
                <wp:positionV relativeFrom="paragraph">
                  <wp:posOffset>-1855469</wp:posOffset>
                </wp:positionV>
                <wp:extent cx="720090" cy="720090"/>
                <wp:effectExtent l="0" t="0" r="0" b="0"/>
                <wp:wrapNone/>
                <wp:docPr id="1" name="_x0000_s102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9"/>
                        <a:srcRect l="330" t="397" r="496" b="516"/>
                        <a:stretch/>
                      </pic:blipFill>
                      <pic:spPr bwMode="auto">
                        <a:xfrm>
                          <a:off x="0" y="0"/>
                          <a:ext cx="720090" cy="720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1;o:allowoverlap:true;o:allowincell:true;mso-position-horizontal-relative:text;margin-left:212.20pt;mso-position-horizontal:absolute;mso-position-vertical-relative:text;margin-top:-146.10pt;mso-position-vertical:absolute;width:56.70pt;height:56.70pt;mso-wrap-distance-left:9.00pt;mso-wrap-distance-top:0.00pt;mso-wrap-distance-right:9.00pt;mso-wrap-distance-bottom:0.00pt;" stroked="f">
                <v:path textboxrect="0,0,0,0"/>
                <v:imagedata r:id="rId9" o:title=""/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2" behindDoc="0" locked="0" layoutInCell="1" allowOverlap="1">
                <wp:simplePos x="0" y="0"/>
                <wp:positionH relativeFrom="column">
                  <wp:posOffset>-249554</wp:posOffset>
                </wp:positionH>
                <wp:positionV relativeFrom="paragraph">
                  <wp:posOffset>-1852294</wp:posOffset>
                </wp:positionV>
                <wp:extent cx="2908935" cy="713105"/>
                <wp:effectExtent l="0" t="0" r="0" b="0"/>
                <wp:wrapNone/>
                <wp:docPr id="2" name="_x0000_s10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703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МИНИСТЕРСТВО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 образования и науки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</w:rPr>
                              <w:br w:type="textWrapping" w:clear="all"/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Республики Татарстан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703"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1" o:spid="_x0000_s1" o:spt="202" type="#_x0000_t202" style="position:absolute;z-index:251658242;o:allowoverlap:true;o:allowincell:true;mso-position-horizontal-relative:text;margin-left:-19.65pt;mso-position-horizontal:absolute;mso-position-vertical-relative:text;margin-top:-145.85pt;mso-position-vertical:absolute;width:229.05pt;height:56.15pt;mso-wrap-distance-left:9.00pt;mso-wrap-distance-top:0.00pt;mso-wrap-distance-right:9.00pt;mso-wrap-distance-bottom:0.00pt;visibility:visible;" filled="f" stroked="f" strokeweight="0.50pt">
                <v:textbox inset="0,0,0,0">
                  <w:txbxContent>
                    <w:p>
                      <w:pPr>
                        <w:pStyle w:val="703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caps/>
                          <w:sz w:val="28"/>
                          <w:szCs w:val="28"/>
                          <w:lang w:val="be-BY"/>
                        </w:rPr>
                        <w:t xml:space="preserve">МИНИСТЕРСТВО</w:t>
                      </w:r>
                      <w:r>
                        <w:rPr>
                          <w:caps/>
                          <w:sz w:val="28"/>
                          <w:szCs w:val="28"/>
                          <w:lang w:val="be-BY"/>
                        </w:rPr>
                        <w:t xml:space="preserve"> образования и науки</w:t>
                      </w:r>
                      <w:r>
                        <w:rPr>
                          <w:caps/>
                          <w:sz w:val="28"/>
                          <w:szCs w:val="28"/>
                        </w:rPr>
                        <w:br w:type="textWrapping" w:clear="all"/>
                      </w:r>
                      <w:r>
                        <w:rPr>
                          <w:caps/>
                          <w:sz w:val="28"/>
                          <w:szCs w:val="28"/>
                          <w:lang w:val="be-BY"/>
                        </w:rPr>
                        <w:t xml:space="preserve">Республики Татарстан</w:t>
                      </w: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703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-1862454</wp:posOffset>
                </wp:positionV>
                <wp:extent cx="3016250" cy="664210"/>
                <wp:effectExtent l="0" t="0" r="0" b="0"/>
                <wp:wrapNone/>
                <wp:docPr id="3" name="_x0000_s1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703"/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 xml:space="preserve">Татарстан Республикасы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r>
                          </w:p>
                          <w:p>
                            <w:pPr>
                              <w:pStyle w:val="703"/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 xml:space="preserve">Мә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 xml:space="preserve">г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 xml:space="preserve">арИф һәм фән МИНИСТРЛЫГЫ</w:t>
                            </w:r>
                            <w:r>
                              <w:rPr>
                                <w:spacing w:val="-4"/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pacing w:val="-4"/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703"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2" o:spid="_x0000_s2" o:spt="202" type="#_x0000_t202" style="position:absolute;z-index:524288;o:allowoverlap:true;o:allowincell:true;mso-position-horizontal-relative:text;margin-left:266.45pt;mso-position-horizontal:absolute;mso-position-vertical-relative:text;margin-top:-146.65pt;mso-position-vertical:absolute;width:237.50pt;height:52.30pt;mso-wrap-distance-left:9.00pt;mso-wrap-distance-top:0.00pt;mso-wrap-distance-right:9.00pt;mso-wrap-distance-bottom:0.00pt;visibility:visible;" filled="f" stroked="f" strokeweight="0.50pt">
                <v:textbox inset="0,0,0,0">
                  <w:txbxContent>
                    <w:p>
                      <w:pPr>
                        <w:pStyle w:val="703"/>
                        <w:jc w:val="center"/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 xml:space="preserve">Татарстан Республикасы</w:t>
                      </w:r>
                      <w:r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r>
                    </w:p>
                    <w:p>
                      <w:pPr>
                        <w:pStyle w:val="703"/>
                        <w:jc w:val="center"/>
                        <w:rPr>
                          <w:spacing w:val="-4"/>
                          <w:sz w:val="28"/>
                          <w:szCs w:val="28"/>
                        </w:rPr>
                      </w:pPr>
                      <w:r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 xml:space="preserve">Мә</w:t>
                      </w:r>
                      <w:r>
                        <w:rPr>
                          <w:caps/>
                          <w:spacing w:val="-4"/>
                          <w:sz w:val="28"/>
                          <w:szCs w:val="28"/>
                        </w:rPr>
                        <w:t xml:space="preserve">г</w:t>
                      </w:r>
                      <w:r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 xml:space="preserve">арИф һәм фән МИНИСТРЛЫГЫ</w:t>
                      </w:r>
                      <w:r>
                        <w:rPr>
                          <w:spacing w:val="-4"/>
                          <w:sz w:val="28"/>
                          <w:szCs w:val="28"/>
                        </w:rPr>
                      </w:r>
                      <w:r>
                        <w:rPr>
                          <w:spacing w:val="-4"/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703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10598" w:type="dxa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495"/>
        <w:gridCol w:w="5103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495" w:type="dxa"/>
            <w:vAlign w:val="top"/>
            <w:textDirection w:val="lrTb"/>
            <w:noWrap w:val="false"/>
          </w:tcPr>
          <w:p>
            <w:pPr>
              <w:pStyle w:val="703"/>
              <w:jc w:val="both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порядке проведения мониторинга психологической безопасности образовательной среды среди обучающихся о</w:t>
            </w:r>
            <w:r>
              <w:rPr>
                <w:sz w:val="28"/>
                <w:szCs w:val="28"/>
              </w:rPr>
              <w:t xml:space="preserve">бщеобразовательных организаций,</w:t>
            </w:r>
            <w:r>
              <w:rPr>
                <w:sz w:val="28"/>
                <w:szCs w:val="28"/>
              </w:rPr>
              <w:t xml:space="preserve"> обучающихся профессиональных образовательных организ</w:t>
            </w:r>
            <w:r>
              <w:rPr>
                <w:sz w:val="28"/>
                <w:szCs w:val="28"/>
              </w:rPr>
              <w:t xml:space="preserve">аций</w:t>
            </w:r>
            <w:r>
              <w:rPr>
                <w:sz w:val="28"/>
                <w:szCs w:val="28"/>
              </w:rPr>
              <w:t xml:space="preserve"> и образовательных организаций высшего образования</w:t>
            </w:r>
            <w:r>
              <w:rPr>
                <w:sz w:val="28"/>
                <w:szCs w:val="28"/>
              </w:rPr>
              <w:t xml:space="preserve"> Республики Татарстан в 2025</w:t>
            </w:r>
            <w:r>
              <w:rPr>
                <w:sz w:val="28"/>
                <w:szCs w:val="28"/>
              </w:rPr>
              <w:t xml:space="preserve"> году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103" w:type="dxa"/>
            <w:vAlign w:val="top"/>
            <w:textDirection w:val="lrTb"/>
            <w:noWrap w:val="false"/>
          </w:tcPr>
          <w:p>
            <w:pPr>
              <w:pStyle w:val="703"/>
              <w:jc w:val="center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704"/>
        <w:ind w:firstLine="709"/>
        <w:jc w:val="both"/>
        <w:spacing w:line="276" w:lineRule="auto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Во исполнение пункта 1.1</w:t>
      </w:r>
      <w:r>
        <w:rPr>
          <w:rFonts w:ascii="Times New Roman" w:hAnsi="Times New Roman"/>
          <w:b w:val="0"/>
          <w:sz w:val="28"/>
          <w:szCs w:val="28"/>
        </w:rPr>
        <w:t xml:space="preserve">.</w:t>
      </w:r>
      <w:r>
        <w:t xml:space="preserve"> </w:t>
      </w:r>
      <w:r>
        <w:rPr>
          <w:rFonts w:ascii="Times New Roman" w:hAnsi="Times New Roman"/>
          <w:b w:val="0"/>
          <w:sz w:val="28"/>
          <w:szCs w:val="28"/>
        </w:rPr>
        <w:t xml:space="preserve">паспорта комплекса процессных мероприятий «Профилак</w:t>
      </w:r>
      <w:r>
        <w:rPr>
          <w:rFonts w:ascii="Times New Roman" w:hAnsi="Times New Roman"/>
          <w:b w:val="0"/>
          <w:sz w:val="28"/>
          <w:szCs w:val="28"/>
        </w:rPr>
        <w:t xml:space="preserve">тика терроризма и экстремизма» </w:t>
      </w:r>
      <w:r>
        <w:rPr>
          <w:rFonts w:ascii="Times New Roman" w:hAnsi="Times New Roman"/>
          <w:b w:val="0"/>
          <w:sz w:val="28"/>
          <w:szCs w:val="28"/>
        </w:rPr>
        <w:t xml:space="preserve">государственной программы Республики Татарстан «Обеспечение общественного порядка и противодействие преступности», утвержденной постановлением Кабинета Министров Республики Татарстан от 16.10.2013 № 764</w:t>
      </w:r>
      <w:r>
        <w:rPr>
          <w:rFonts w:ascii="Times New Roman" w:hAnsi="Times New Roman"/>
          <w:b w:val="0"/>
          <w:sz w:val="28"/>
          <w:szCs w:val="28"/>
        </w:rPr>
        <w:t xml:space="preserve">, п р и к а з ы в а ю:</w:t>
      </w:r>
      <w:r>
        <w:rPr>
          <w:rFonts w:ascii="Times New Roman" w:hAnsi="Times New Roman"/>
          <w:b w:val="0"/>
          <w:sz w:val="28"/>
          <w:szCs w:val="28"/>
        </w:rPr>
      </w:r>
    </w:p>
    <w:p>
      <w:pPr>
        <w:pStyle w:val="703"/>
        <w:jc w:val="center"/>
        <w:spacing w:line="276" w:lineRule="auto"/>
        <w:rPr>
          <w:b/>
          <w:sz w:val="18"/>
          <w:szCs w:val="28"/>
        </w:rPr>
      </w:pPr>
      <w:r>
        <w:rPr>
          <w:b/>
          <w:sz w:val="18"/>
          <w:szCs w:val="28"/>
        </w:rPr>
      </w:r>
      <w:r>
        <w:rPr>
          <w:b/>
          <w:sz w:val="18"/>
          <w:szCs w:val="28"/>
        </w:rPr>
      </w:r>
    </w:p>
    <w:p>
      <w:pPr>
        <w:pStyle w:val="703"/>
        <w:contextualSpacing/>
        <w:ind w:firstLine="709"/>
        <w:jc w:val="both"/>
        <w:spacing w:line="276" w:lineRule="auto"/>
        <w:rPr>
          <w:sz w:val="8"/>
          <w:szCs w:val="28"/>
        </w:rPr>
      </w:pPr>
      <w:r>
        <w:rPr>
          <w:sz w:val="8"/>
          <w:szCs w:val="28"/>
        </w:rPr>
      </w:r>
      <w:r>
        <w:rPr>
          <w:sz w:val="8"/>
          <w:szCs w:val="28"/>
        </w:rPr>
      </w:r>
    </w:p>
    <w:p>
      <w:pPr>
        <w:pStyle w:val="703"/>
        <w:ind w:firstLine="709"/>
        <w:jc w:val="both"/>
        <w:spacing w:line="276" w:lineRule="auto"/>
        <w:tabs>
          <w:tab w:val="left" w:pos="3574" w:leader="none"/>
        </w:tabs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1. </w:t>
      </w:r>
      <w:r>
        <w:rPr>
          <w:rFonts w:eastAsia="Calibri"/>
          <w:sz w:val="28"/>
          <w:szCs w:val="28"/>
          <w:lang w:eastAsia="en-US"/>
        </w:rPr>
        <w:t xml:space="preserve">Провести мониторинг</w:t>
      </w:r>
      <w:r>
        <w:rPr>
          <w:rFonts w:eastAsia="Calibri"/>
          <w:sz w:val="28"/>
          <w:szCs w:val="28"/>
          <w:lang w:eastAsia="en-US"/>
        </w:rPr>
        <w:t xml:space="preserve"> психологической без</w:t>
      </w:r>
      <w:r>
        <w:rPr>
          <w:rFonts w:eastAsia="Calibri"/>
          <w:sz w:val="28"/>
          <w:szCs w:val="28"/>
          <w:lang w:eastAsia="en-US"/>
        </w:rPr>
        <w:t xml:space="preserve">опасности образовательной среды</w:t>
      </w:r>
      <w:r>
        <w:rPr>
          <w:rFonts w:eastAsia="Calibri"/>
          <w:sz w:val="28"/>
          <w:szCs w:val="28"/>
          <w:lang w:eastAsia="en-US"/>
        </w:rPr>
        <w:t xml:space="preserve"> (далее – мониторинг)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среди обучающихся общеобразовательных организаций, обучающихся профессиональных образовательных организаций и образовательных организаций высшего образования Республики Татарстан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с 15 апреля по 15 мая 2025 года</w:t>
      </w:r>
      <w:r>
        <w:rPr>
          <w:rFonts w:eastAsia="Calibri"/>
          <w:sz w:val="28"/>
          <w:szCs w:val="28"/>
          <w:lang w:eastAsia="en-US"/>
        </w:rPr>
        <w:t xml:space="preserve"> с использованием сайта </w:t>
      </w:r>
      <w:r>
        <w:rPr>
          <w:rFonts w:eastAsia="Calibri"/>
          <w:sz w:val="28"/>
          <w:szCs w:val="28"/>
          <w:lang w:eastAsia="en-US"/>
        </w:rPr>
        <w:t xml:space="preserve">https://oko.kpfu.ru</w:t>
      </w:r>
      <w:r>
        <w:rPr>
          <w:rFonts w:eastAsia="Calibri"/>
          <w:sz w:val="28"/>
          <w:szCs w:val="28"/>
          <w:lang w:eastAsia="en-US"/>
        </w:rPr>
        <w:t xml:space="preserve">.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pStyle w:val="703"/>
        <w:ind w:firstLine="709"/>
        <w:jc w:val="both"/>
        <w:spacing w:line="276" w:lineRule="auto"/>
        <w:tabs>
          <w:tab w:val="left" w:pos="3574" w:leader="none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 </w:t>
      </w:r>
      <w:r>
        <w:rPr>
          <w:rFonts w:eastAsia="Calibri"/>
          <w:sz w:val="28"/>
          <w:szCs w:val="28"/>
          <w:lang w:eastAsia="en-US"/>
        </w:rPr>
        <w:t xml:space="preserve">Провести мониторинг по следующим методикам:</w:t>
      </w:r>
      <w:r>
        <w:rPr>
          <w:rFonts w:eastAsia="Calibri"/>
          <w:sz w:val="28"/>
          <w:szCs w:val="28"/>
          <w:lang w:eastAsia="en-US"/>
        </w:rPr>
      </w:r>
    </w:p>
    <w:p>
      <w:pPr>
        <w:pStyle w:val="703"/>
        <w:ind w:firstLine="709"/>
        <w:jc w:val="both"/>
        <w:spacing w:line="276" w:lineRule="auto"/>
        <w:tabs>
          <w:tab w:val="left" w:pos="3574" w:leader="none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м</w:t>
      </w:r>
      <w:r>
        <w:rPr>
          <w:rFonts w:eastAsia="Calibri"/>
          <w:sz w:val="28"/>
          <w:szCs w:val="28"/>
          <w:lang w:eastAsia="en-US"/>
        </w:rPr>
        <w:t xml:space="preserve">етодика дифференциальной диагностики депрессивных состояний В.Зунге; </w:t>
      </w:r>
      <w:r>
        <w:rPr>
          <w:rFonts w:eastAsia="Calibri"/>
          <w:sz w:val="28"/>
          <w:szCs w:val="28"/>
          <w:lang w:eastAsia="en-US"/>
        </w:rPr>
      </w:r>
    </w:p>
    <w:p>
      <w:pPr>
        <w:pStyle w:val="703"/>
        <w:ind w:firstLine="709"/>
        <w:jc w:val="both"/>
        <w:spacing w:line="276" w:lineRule="auto"/>
        <w:tabs>
          <w:tab w:val="left" w:pos="3574" w:leader="none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</w:t>
      </w:r>
      <w:r>
        <w:rPr>
          <w:rFonts w:eastAsia="Calibri"/>
          <w:sz w:val="28"/>
          <w:szCs w:val="28"/>
          <w:lang w:eastAsia="en-US"/>
        </w:rPr>
        <w:t xml:space="preserve">просник уровня агрессивности Басса-Перри BPAQ-24;</w:t>
      </w:r>
      <w:r>
        <w:rPr>
          <w:rFonts w:eastAsia="Calibri"/>
          <w:sz w:val="28"/>
          <w:szCs w:val="28"/>
          <w:lang w:eastAsia="en-US"/>
        </w:rPr>
      </w:r>
    </w:p>
    <w:p>
      <w:pPr>
        <w:pStyle w:val="703"/>
        <w:ind w:firstLine="709"/>
        <w:jc w:val="both"/>
        <w:spacing w:line="276" w:lineRule="auto"/>
        <w:tabs>
          <w:tab w:val="left" w:pos="3574" w:leader="none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ш</w:t>
      </w:r>
      <w:r>
        <w:rPr>
          <w:rFonts w:eastAsia="Calibri"/>
          <w:sz w:val="28"/>
          <w:szCs w:val="28"/>
          <w:lang w:eastAsia="en-US"/>
        </w:rPr>
        <w:t xml:space="preserve">кала самооценки уровня тревожности (Ч.Д.Спилбергера, Ю.Л.Ханина);</w:t>
      </w:r>
      <w:r>
        <w:rPr>
          <w:rFonts w:eastAsia="Calibri"/>
          <w:sz w:val="28"/>
          <w:szCs w:val="28"/>
          <w:lang w:eastAsia="en-US"/>
        </w:rPr>
      </w:r>
    </w:p>
    <w:p>
      <w:pPr>
        <w:pStyle w:val="703"/>
        <w:ind w:firstLine="709"/>
        <w:jc w:val="both"/>
        <w:spacing w:line="276" w:lineRule="auto"/>
        <w:tabs>
          <w:tab w:val="left" w:pos="3574" w:leader="none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а</w:t>
      </w:r>
      <w:r>
        <w:rPr>
          <w:rFonts w:eastAsia="Calibri"/>
          <w:sz w:val="28"/>
          <w:szCs w:val="28"/>
          <w:lang w:eastAsia="en-US"/>
        </w:rPr>
        <w:t xml:space="preserve">нкета РДДМ «Движение первых».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pStyle w:val="703"/>
        <w:ind w:firstLine="709"/>
        <w:jc w:val="both"/>
        <w:spacing w:line="276" w:lineRule="auto"/>
        <w:tabs>
          <w:tab w:val="left" w:pos="3574" w:leader="none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</w:t>
      </w:r>
      <w:r>
        <w:rPr>
          <w:rFonts w:eastAsia="Calibri"/>
          <w:sz w:val="28"/>
          <w:szCs w:val="28"/>
          <w:lang w:eastAsia="en-US"/>
        </w:rPr>
        <w:t xml:space="preserve">. </w:t>
      </w:r>
      <w:r>
        <w:rPr>
          <w:rFonts w:eastAsia="Calibri"/>
          <w:sz w:val="28"/>
          <w:szCs w:val="28"/>
          <w:lang w:eastAsia="en-US"/>
        </w:rPr>
        <w:t xml:space="preserve">Государственным общеобразовательным организациям, а также р</w:t>
      </w:r>
      <w:r>
        <w:rPr>
          <w:rFonts w:eastAsia="Calibri"/>
          <w:sz w:val="28"/>
          <w:szCs w:val="28"/>
          <w:lang w:eastAsia="en-US"/>
        </w:rPr>
        <w:t xml:space="preserve">екомендовать </w:t>
      </w:r>
      <w:r>
        <w:rPr>
          <w:rFonts w:eastAsia="Calibri"/>
          <w:sz w:val="28"/>
          <w:szCs w:val="28"/>
          <w:lang w:eastAsia="en-US"/>
        </w:rPr>
        <w:t xml:space="preserve">управлениям образования исполнительных комитетов муниципальных образований Республики Татарстан</w:t>
      </w:r>
      <w:r>
        <w:rPr>
          <w:rFonts w:eastAsia="Calibri"/>
          <w:sz w:val="28"/>
          <w:szCs w:val="28"/>
          <w:lang w:eastAsia="en-US"/>
        </w:rPr>
        <w:t xml:space="preserve">:</w:t>
      </w:r>
      <w:r>
        <w:rPr>
          <w:rFonts w:eastAsia="Calibri"/>
          <w:sz w:val="28"/>
          <w:szCs w:val="28"/>
          <w:lang w:eastAsia="en-US"/>
        </w:rPr>
      </w:r>
    </w:p>
    <w:p>
      <w:pPr>
        <w:pStyle w:val="703"/>
        <w:ind w:firstLine="709"/>
        <w:jc w:val="both"/>
        <w:spacing w:line="276" w:lineRule="auto"/>
        <w:tabs>
          <w:tab w:val="left" w:pos="3574" w:leader="none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организовать проведение мониторинга </w:t>
      </w:r>
      <w:r>
        <w:rPr>
          <w:rFonts w:eastAsia="Calibri"/>
          <w:sz w:val="28"/>
          <w:szCs w:val="28"/>
          <w:lang w:eastAsia="en-US"/>
        </w:rPr>
        <w:t xml:space="preserve">с</w:t>
      </w:r>
      <w:r>
        <w:rPr>
          <w:rFonts w:eastAsia="Calibri"/>
          <w:sz w:val="28"/>
          <w:szCs w:val="28"/>
          <w:lang w:eastAsia="en-US"/>
        </w:rPr>
        <w:t xml:space="preserve">реди обучающихся 6-11 классов</w:t>
      </w:r>
      <w:r>
        <w:rPr>
          <w:rFonts w:eastAsia="Calibri"/>
          <w:sz w:val="28"/>
          <w:szCs w:val="28"/>
          <w:lang w:eastAsia="en-US"/>
        </w:rPr>
        <w:t xml:space="preserve">;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pStyle w:val="703"/>
        <w:ind w:firstLine="709"/>
        <w:jc w:val="both"/>
        <w:spacing w:line="276" w:lineRule="auto"/>
        <w:tabs>
          <w:tab w:val="left" w:pos="3574" w:leader="none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закрепить лиц, ответственных за организацию проведения мониторинга из числа заместителей директоров по учебно-воспитательной работе, педагогов-психологов, специалистов по информационным технологиям;</w:t>
      </w:r>
      <w:r>
        <w:rPr>
          <w:rFonts w:eastAsia="Calibri"/>
          <w:sz w:val="28"/>
          <w:szCs w:val="28"/>
          <w:lang w:eastAsia="en-US"/>
        </w:rPr>
      </w:r>
    </w:p>
    <w:p>
      <w:pPr>
        <w:pStyle w:val="703"/>
        <w:ind w:firstLine="709"/>
        <w:jc w:val="both"/>
        <w:spacing w:line="276" w:lineRule="auto"/>
        <w:tabs>
          <w:tab w:val="left" w:pos="3574" w:leader="none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обеспечить </w:t>
      </w:r>
      <w:r>
        <w:rPr>
          <w:rFonts w:eastAsia="Calibri"/>
          <w:sz w:val="28"/>
          <w:szCs w:val="28"/>
          <w:lang w:eastAsia="en-US"/>
        </w:rPr>
        <w:t xml:space="preserve">оперативное взаимодействие лиц, ответственных за организацию мониторинга безопасности образовательной среды</w:t>
      </w:r>
      <w:r>
        <w:rPr>
          <w:rFonts w:eastAsia="Calibri"/>
          <w:sz w:val="28"/>
          <w:szCs w:val="28"/>
          <w:lang w:eastAsia="en-US"/>
        </w:rPr>
        <w:t xml:space="preserve"> с </w:t>
      </w:r>
      <w:r>
        <w:rPr>
          <w:sz w:val="28"/>
          <w:szCs w:val="28"/>
        </w:rPr>
        <w:t xml:space="preserve">федеральным государственным автономным образовательным</w:t>
      </w:r>
      <w:r>
        <w:rPr>
          <w:sz w:val="28"/>
          <w:szCs w:val="28"/>
        </w:rPr>
        <w:t xml:space="preserve"> учреждение</w:t>
      </w:r>
      <w:r>
        <w:rPr>
          <w:sz w:val="28"/>
          <w:szCs w:val="28"/>
        </w:rPr>
        <w:t xml:space="preserve">м</w:t>
      </w:r>
      <w:r>
        <w:rPr>
          <w:sz w:val="28"/>
          <w:szCs w:val="28"/>
        </w:rPr>
        <w:t xml:space="preserve"> высшего образования «Казанский (Приволжский) федеральный университет»</w:t>
      </w:r>
      <w:r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далее </w:t>
      </w:r>
      <w:r>
        <w:rPr>
          <w:rFonts w:eastAsia="Calibri"/>
          <w:sz w:val="28"/>
          <w:szCs w:val="28"/>
          <w:lang w:eastAsia="en-US"/>
        </w:rPr>
        <w:t xml:space="preserve">– Исполнитель)</w:t>
      </w:r>
      <w:r>
        <w:rPr>
          <w:rFonts w:eastAsia="Calibri"/>
          <w:sz w:val="28"/>
          <w:szCs w:val="28"/>
          <w:lang w:eastAsia="en-US"/>
        </w:rPr>
        <w:t xml:space="preserve">.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pStyle w:val="703"/>
        <w:ind w:firstLine="709"/>
        <w:jc w:val="both"/>
        <w:spacing w:line="276" w:lineRule="auto"/>
        <w:tabs>
          <w:tab w:val="left" w:pos="3574" w:leader="none"/>
        </w:tabs>
        <w:rPr>
          <w:color w:val="000000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4. </w:t>
      </w:r>
      <w:r>
        <w:rPr>
          <w:color w:val="000000"/>
          <w:sz w:val="28"/>
          <w:szCs w:val="28"/>
        </w:rPr>
        <w:t xml:space="preserve">Рекомендовать</w:t>
      </w:r>
      <w:r>
        <w:rPr>
          <w:color w:val="000000"/>
          <w:sz w:val="28"/>
          <w:szCs w:val="28"/>
        </w:rPr>
        <w:t xml:space="preserve"> орган</w:t>
      </w:r>
      <w:r>
        <w:rPr>
          <w:color w:val="000000"/>
          <w:sz w:val="28"/>
          <w:szCs w:val="28"/>
        </w:rPr>
        <w:t xml:space="preserve">ам</w:t>
      </w:r>
      <w:r>
        <w:rPr>
          <w:color w:val="000000"/>
          <w:sz w:val="28"/>
          <w:szCs w:val="28"/>
        </w:rPr>
        <w:t xml:space="preserve"> управления образованием исполнительных комитетов муниципальных образований Республики Татарстан:</w:t>
      </w:r>
      <w:r>
        <w:rPr>
          <w:color w:val="000000"/>
          <w:sz w:val="28"/>
          <w:szCs w:val="28"/>
        </w:rPr>
      </w:r>
    </w:p>
    <w:p>
      <w:pPr>
        <w:pStyle w:val="703"/>
        <w:contextualSpacing/>
        <w:ind w:firstLine="709"/>
        <w:jc w:val="both"/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закрепить </w:t>
      </w:r>
      <w:r>
        <w:rPr>
          <w:color w:val="000000"/>
          <w:sz w:val="28"/>
          <w:szCs w:val="28"/>
        </w:rPr>
        <w:t xml:space="preserve">ответственных </w:t>
      </w:r>
      <w:r>
        <w:rPr>
          <w:color w:val="000000"/>
          <w:sz w:val="28"/>
          <w:szCs w:val="28"/>
        </w:rPr>
        <w:t xml:space="preserve">лиц</w:t>
      </w:r>
      <w:r>
        <w:rPr>
          <w:color w:val="000000"/>
          <w:sz w:val="28"/>
          <w:szCs w:val="28"/>
        </w:rPr>
        <w:t xml:space="preserve"> з</w:t>
      </w:r>
      <w:r>
        <w:rPr>
          <w:color w:val="000000"/>
          <w:sz w:val="28"/>
          <w:szCs w:val="28"/>
        </w:rPr>
        <w:t xml:space="preserve">а организацию проведения мониторинга из числа методистов отделов (управлений) образования, специалисто</w:t>
      </w:r>
      <w:r>
        <w:rPr>
          <w:color w:val="000000"/>
          <w:sz w:val="28"/>
          <w:szCs w:val="28"/>
        </w:rPr>
        <w:t xml:space="preserve">в по информационным технологиям, а также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образовательных организациях, подведомственных органам местного самоуправления – не менее трех человек </w:t>
      </w:r>
      <w:r>
        <w:rPr>
          <w:color w:val="000000"/>
          <w:sz w:val="28"/>
          <w:szCs w:val="28"/>
        </w:rPr>
        <w:t xml:space="preserve">из числа заместителей директоров по учебно-воспитательной работе, педагогов-психологов, специалисто</w:t>
      </w:r>
      <w:r>
        <w:rPr>
          <w:color w:val="000000"/>
          <w:sz w:val="28"/>
          <w:szCs w:val="28"/>
        </w:rPr>
        <w:t xml:space="preserve">в по информационным технологиям;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703"/>
        <w:contextualSpacing/>
        <w:ind w:firstLine="709"/>
        <w:jc w:val="both"/>
        <w:spacing w:line="276" w:lineRule="auto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обеспечить </w:t>
      </w:r>
      <w:r>
        <w:rPr>
          <w:color w:val="000000"/>
          <w:sz w:val="28"/>
          <w:szCs w:val="28"/>
        </w:rPr>
        <w:t xml:space="preserve">оперативное взаимодействие лиц, ответственных за организацию мониторинга безопасности образовательной среды, с </w:t>
      </w:r>
      <w:r>
        <w:rPr>
          <w:sz w:val="28"/>
          <w:szCs w:val="28"/>
        </w:rPr>
        <w:t xml:space="preserve">Исполнителем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pStyle w:val="703"/>
        <w:contextualSpacing/>
        <w:ind w:firstLine="709"/>
        <w:jc w:val="both"/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</w:t>
      </w:r>
      <w:r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Государственным профессиональным образовательным организациям, подведомственным Министерству, а также рекомендовать г</w:t>
      </w:r>
      <w:r>
        <w:rPr>
          <w:color w:val="000000"/>
          <w:sz w:val="28"/>
          <w:szCs w:val="28"/>
        </w:rPr>
        <w:t xml:space="preserve">осударственным профессиональным образовательным организациям</w:t>
      </w:r>
      <w:r>
        <w:rPr>
          <w:color w:val="000000"/>
          <w:sz w:val="28"/>
          <w:szCs w:val="28"/>
        </w:rPr>
        <w:t xml:space="preserve">, подведомственным иным республиканским органам исполнительной власти, органам местного самоуправления</w:t>
      </w:r>
      <w:r>
        <w:rPr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</w:r>
    </w:p>
    <w:p>
      <w:pPr>
        <w:pStyle w:val="703"/>
        <w:contextualSpacing/>
        <w:ind w:firstLine="709"/>
        <w:jc w:val="both"/>
        <w:spacing w:line="276" w:lineRule="auto"/>
        <w:tabs>
          <w:tab w:val="left" w:pos="993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организовать проведение мониторинга обучающихся 1-4 курсов в соответствии со сроками, установленными пунктом 1 настоящего приказа;</w:t>
      </w:r>
      <w:r>
        <w:rPr>
          <w:color w:val="000000"/>
          <w:sz w:val="28"/>
          <w:szCs w:val="28"/>
        </w:rPr>
      </w:r>
    </w:p>
    <w:p>
      <w:pPr>
        <w:pStyle w:val="703"/>
        <w:contextualSpacing/>
        <w:ind w:firstLine="709"/>
        <w:jc w:val="both"/>
        <w:spacing w:line="276" w:lineRule="auto"/>
        <w:tabs>
          <w:tab w:val="left" w:pos="993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закрепить лиц, ответственных за организацию проведения мониторинга из числа заместителей директоров по учебно-воспитательной работе, педагогов-психологов, специалистов по информационным технологиям;</w:t>
      </w:r>
      <w:r>
        <w:rPr>
          <w:color w:val="000000"/>
          <w:sz w:val="28"/>
          <w:szCs w:val="28"/>
        </w:rPr>
      </w:r>
    </w:p>
    <w:p>
      <w:pPr>
        <w:pStyle w:val="703"/>
        <w:contextualSpacing/>
        <w:ind w:firstLine="709"/>
        <w:jc w:val="both"/>
        <w:spacing w:line="276" w:lineRule="auto"/>
        <w:tabs>
          <w:tab w:val="left" w:pos="993" w:leader="none"/>
        </w:tabs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обеспечить </w:t>
      </w:r>
      <w:r>
        <w:rPr>
          <w:color w:val="000000"/>
          <w:sz w:val="28"/>
          <w:szCs w:val="28"/>
        </w:rPr>
        <w:t xml:space="preserve">оперативное взаимодействие лиц, ответственных за организацию мониторинга безопасности образовательной среды</w:t>
      </w:r>
      <w:r>
        <w:rPr>
          <w:sz w:val="28"/>
          <w:szCs w:val="28"/>
        </w:rPr>
        <w:t xml:space="preserve">, с Исполнителем.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03"/>
        <w:contextualSpacing/>
        <w:ind w:firstLine="709"/>
        <w:jc w:val="both"/>
        <w:spacing w:line="276" w:lineRule="auto"/>
        <w:tabs>
          <w:tab w:val="left" w:pos="993" w:leader="none"/>
        </w:tabs>
        <w:rPr>
          <w:rFonts w:eastAsia="Calibri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 xml:space="preserve">6</w:t>
      </w:r>
      <w:r>
        <w:rPr>
          <w:color w:val="000000"/>
          <w:sz w:val="28"/>
          <w:szCs w:val="28"/>
        </w:rPr>
        <w:t xml:space="preserve">. </w:t>
      </w:r>
      <w:r>
        <w:rPr>
          <w:rFonts w:eastAsia="Calibri"/>
          <w:sz w:val="28"/>
          <w:szCs w:val="28"/>
          <w:lang w:eastAsia="en-US"/>
        </w:rPr>
        <w:t xml:space="preserve">Рекомендовать о</w:t>
      </w:r>
      <w:r>
        <w:rPr>
          <w:sz w:val="28"/>
          <w:szCs w:val="28"/>
        </w:rPr>
        <w:t xml:space="preserve">бразовательным организациям высшего образования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Р</w:t>
      </w:r>
      <w:r>
        <w:rPr>
          <w:rFonts w:eastAsia="Calibri"/>
          <w:sz w:val="28"/>
          <w:szCs w:val="28"/>
          <w:lang w:eastAsia="en-US"/>
        </w:rPr>
        <w:t xml:space="preserve">еспублики Татарстан:</w:t>
      </w:r>
      <w:r>
        <w:rPr>
          <w:rFonts w:eastAsia="Calibri"/>
          <w:sz w:val="28"/>
          <w:szCs w:val="28"/>
          <w:lang w:eastAsia="en-US"/>
        </w:rPr>
      </w:r>
    </w:p>
    <w:p>
      <w:pPr>
        <w:pStyle w:val="703"/>
        <w:contextualSpacing/>
        <w:ind w:firstLine="709"/>
        <w:jc w:val="both"/>
        <w:spacing w:line="276" w:lineRule="auto"/>
        <w:tabs>
          <w:tab w:val="left" w:pos="993" w:leader="none"/>
        </w:tabs>
        <w:rPr>
          <w:color w:val="000000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организовать проведение мониторинга </w:t>
      </w:r>
      <w:r>
        <w:rPr>
          <w:rFonts w:eastAsia="Calibri"/>
          <w:sz w:val="28"/>
          <w:szCs w:val="28"/>
          <w:lang w:eastAsia="en-US"/>
        </w:rPr>
        <w:t xml:space="preserve">среди студентов, обучающихся по программам бакалавриата, магистратуры и специалитета </w:t>
      </w:r>
      <w:r>
        <w:rPr>
          <w:color w:val="000000"/>
          <w:sz w:val="28"/>
          <w:szCs w:val="28"/>
        </w:rPr>
        <w:t xml:space="preserve">в соответствии со сроками, установленными пунктом 1 настоящего приказа</w:t>
      </w:r>
      <w:r>
        <w:rPr>
          <w:color w:val="000000"/>
          <w:sz w:val="28"/>
          <w:szCs w:val="28"/>
        </w:rPr>
        <w:t xml:space="preserve">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703"/>
        <w:contextualSpacing/>
        <w:ind w:firstLine="709"/>
        <w:jc w:val="both"/>
        <w:spacing w:line="276" w:lineRule="auto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обеспечить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оперативное взаимодействие лиц, ответственных за организацию мониторинга, </w:t>
      </w:r>
      <w:r>
        <w:rPr>
          <w:sz w:val="28"/>
          <w:szCs w:val="28"/>
        </w:rPr>
        <w:t xml:space="preserve">с Исполнителем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03"/>
        <w:contextualSpacing/>
        <w:ind w:firstLine="709"/>
        <w:jc w:val="both"/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 У</w:t>
      </w:r>
      <w:r>
        <w:rPr>
          <w:color w:val="000000"/>
          <w:sz w:val="28"/>
          <w:szCs w:val="28"/>
        </w:rPr>
        <w:t xml:space="preserve">правлению воспитания, дополнительного образован</w:t>
      </w:r>
      <w:r>
        <w:rPr>
          <w:color w:val="000000"/>
          <w:sz w:val="28"/>
          <w:szCs w:val="28"/>
        </w:rPr>
        <w:t xml:space="preserve">ия детей и развития психологического сопровождения обучающихся (А.Р.Кашапова) организовать передачу результатов мониторинга психологической безопасности образовательной среды зашифрованным файлом в Министерство по делам молодежи Республики Татарстан.     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703"/>
        <w:contextualSpacing/>
        <w:ind w:firstLine="709"/>
        <w:jc w:val="both"/>
        <w:spacing w:line="276" w:lineRule="auto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8</w:t>
      </w:r>
      <w:r>
        <w:rPr>
          <w:color w:val="000000"/>
          <w:sz w:val="28"/>
          <w:szCs w:val="28"/>
        </w:rPr>
        <w:t xml:space="preserve">. </w:t>
      </w:r>
      <w:r>
        <w:rPr>
          <w:sz w:val="28"/>
          <w:szCs w:val="28"/>
        </w:rPr>
        <w:t xml:space="preserve">Общее руководство вопросами</w:t>
      </w:r>
      <w:r>
        <w:rPr>
          <w:color w:val="000000"/>
          <w:sz w:val="28"/>
          <w:szCs w:val="28"/>
        </w:rPr>
        <w:t xml:space="preserve">, связанными с организацией и проведением тестирования, возложить на </w:t>
      </w:r>
      <w:r>
        <w:rPr>
          <w:color w:val="000000"/>
          <w:sz w:val="28"/>
          <w:szCs w:val="28"/>
        </w:rPr>
        <w:t xml:space="preserve">управление</w:t>
      </w:r>
      <w:r>
        <w:rPr>
          <w:rFonts w:ascii="Arial" w:hAnsi="Arial" w:cs="Arial"/>
          <w:b/>
          <w:bCs/>
          <w:color w:val="000000"/>
          <w:sz w:val="36"/>
          <w:szCs w:val="36"/>
          <w:shd w:val="clear" w:color="auto" w:fill="ffffff"/>
        </w:rPr>
        <w:t xml:space="preserve"> </w:t>
      </w:r>
      <w:r>
        <w:rPr>
          <w:bCs/>
          <w:color w:val="000000"/>
          <w:sz w:val="28"/>
          <w:szCs w:val="28"/>
          <w:shd w:val="clear" w:color="auto" w:fill="ffffff"/>
        </w:rPr>
        <w:t xml:space="preserve">воспитания, дополнительного образования детей и развития психологического сопровождения обучающихся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(А.Р.Кашапова), отдел научно-технической политики (Д.Н.Мотыгуллин), отдел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общего образования и итоговой аттестации </w:t>
      </w:r>
      <w:r>
        <w:rPr>
          <w:sz w:val="28"/>
          <w:szCs w:val="28"/>
        </w:rPr>
        <w:t xml:space="preserve">(Л.И.Саубанова), </w:t>
      </w:r>
      <w:r>
        <w:rPr>
          <w:sz w:val="28"/>
          <w:szCs w:val="28"/>
        </w:rPr>
        <w:t xml:space="preserve">отдел высшего образования (Л.Д.Яруллин), </w:t>
      </w:r>
      <w:r>
        <w:rPr>
          <w:sz w:val="28"/>
          <w:szCs w:val="28"/>
        </w:rPr>
        <w:t xml:space="preserve">отдел </w:t>
      </w:r>
      <w:r>
        <w:rPr>
          <w:sz w:val="28"/>
          <w:szCs w:val="28"/>
        </w:rPr>
        <w:t xml:space="preserve">развития среднего профессионального образования</w:t>
      </w:r>
      <w:r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Л.А.Митроф</w:t>
      </w:r>
      <w:r>
        <w:rPr>
          <w:sz w:val="28"/>
          <w:szCs w:val="28"/>
        </w:rPr>
        <w:t xml:space="preserve">анова).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03"/>
        <w:contextualSpacing/>
        <w:ind w:firstLine="709"/>
        <w:jc w:val="both"/>
        <w:spacing w:line="276" w:lineRule="auto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9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Контроль за исполнением настоящего приказа </w:t>
      </w:r>
      <w:r>
        <w:rPr>
          <w:sz w:val="28"/>
          <w:szCs w:val="28"/>
        </w:rPr>
        <w:t xml:space="preserve">оставляю за собой.</w:t>
      </w:r>
      <w:r>
        <w:rPr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734"/>
        <w:ind w:left="0" w:firstLine="709"/>
        <w:jc w:val="both"/>
        <w:spacing w:after="0"/>
        <w:tabs>
          <w:tab w:val="left" w:pos="993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734"/>
        <w:ind w:left="0" w:firstLine="709"/>
        <w:jc w:val="both"/>
        <w:spacing w:after="0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Министр                                                                                                            И.Г.Хадиуллин</w:t>
      </w:r>
      <w:r>
        <w:rPr>
          <w:sz w:val="28"/>
          <w:szCs w:val="28"/>
        </w:rPr>
      </w:r>
    </w:p>
    <w:sectPr>
      <w:footnotePr/>
      <w:endnotePr/>
      <w:type w:val="continuous"/>
      <w:pgSz w:w="12240" w:h="15840" w:orient="portrait"/>
      <w:pgMar w:top="1276" w:right="567" w:bottom="1134" w:left="1134" w:header="567" w:footer="284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Segoe UI">
    <w:panose1 w:val="020B0502040504020204"/>
  </w:font>
  <w:font w:name="Times New Roman CYR">
    <w:panose1 w:val="02020603050405020304"/>
  </w:font>
  <w:font w:name="Calibri">
    <w:panose1 w:val="020F0502020204030204"/>
  </w:font>
  <w:font w:name="Verdana">
    <w:panose1 w:val="020B0604030504040204"/>
  </w:font>
  <w:font w:name="Tahoma">
    <w:panose1 w:val="020B0604030504040204"/>
  </w:font>
  <w:font w:name="Cambria">
    <w:panose1 w:val="02040503050406030204"/>
  </w:font>
  <w:font w:name="Times New Roman">
    <w:panose1 w:val="02020603050405020304"/>
  </w:font>
  <w:font w:name="Calibri Light">
    <w:panose1 w:val="020F05020202040302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"/>
      <w:lvlJc w:val="left"/>
      <w:pPr/>
    </w:lvl>
    <w:lvl w:ilvl="1">
      <w:start w:val="0"/>
      <w:numFmt w:val="decimal"/>
      <w:isLgl w:val="false"/>
      <w:suff w:val="tab"/>
      <w:lvlText w:val=""/>
      <w:lvlJc w:val="left"/>
      <w:pPr/>
    </w:lvl>
    <w:lvl w:ilvl="2">
      <w:start w:val="0"/>
      <w:numFmt w:val="decimal"/>
      <w:isLgl w:val="false"/>
      <w:suff w:val="tab"/>
      <w:lvlText w:val=""/>
      <w:lvlJc w:val="left"/>
      <w:pPr/>
    </w:lvl>
    <w:lvl w:ilvl="3">
      <w:start w:val="0"/>
      <w:numFmt w:val="decimal"/>
      <w:isLgl w:val="false"/>
      <w:suff w:val="tab"/>
      <w:lvlText w:val=""/>
      <w:lvlJc w:val="left"/>
      <w:pPr/>
    </w:lvl>
    <w:lvl w:ilvl="4">
      <w:start w:val="0"/>
      <w:numFmt w:val="decimal"/>
      <w:isLgl w:val="false"/>
      <w:suff w:val="tab"/>
      <w:lvlText w:val=""/>
      <w:lvlJc w:val="left"/>
      <w:pPr/>
    </w:lvl>
    <w:lvl w:ilvl="5">
      <w:start w:val="0"/>
      <w:numFmt w:val="decimal"/>
      <w:isLgl w:val="false"/>
      <w:suff w:val="tab"/>
      <w:lvlText w:val=""/>
      <w:lvlJc w:val="left"/>
      <w:pPr/>
    </w:lvl>
    <w:lvl w:ilvl="6">
      <w:start w:val="0"/>
      <w:numFmt w:val="decimal"/>
      <w:isLgl w:val="false"/>
      <w:suff w:val="tab"/>
      <w:lvlText w:val=""/>
      <w:lvlJc w:val="left"/>
      <w:pPr/>
    </w:lvl>
    <w:lvl w:ilvl="7">
      <w:start w:val="0"/>
      <w:numFmt w:val="decimal"/>
      <w:isLgl w:val="false"/>
      <w:suff w:val="tab"/>
      <w:lvlText w:val=""/>
      <w:lvlJc w:val="left"/>
      <w:pPr/>
    </w:lvl>
    <w:lvl w:ilvl="8">
      <w:start w:val="0"/>
      <w:numFmt w:val="decimal"/>
      <w:isLgl w:val="false"/>
      <w:suff w:val="tab"/>
      <w:lvlText w:val=""/>
      <w:lvlJc w:val="left"/>
      <w:pPr/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004" w:hanging="360"/>
        <w:tabs>
          <w:tab w:val="num" w:pos="1004" w:leader="none"/>
        </w:tabs>
      </w:pPr>
      <w:rPr>
        <w:rFonts w:ascii="Arial" w:hAnsi="Arial"/>
      </w:rPr>
    </w:lvl>
    <w:lvl w:ilvl="1">
      <w:start w:val="1"/>
      <w:numFmt w:val="bullet"/>
      <w:isLgl w:val="false"/>
      <w:suff w:val="tab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444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164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04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24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815" w:hanging="1095"/>
      </w:pPr>
    </w:lvl>
    <w:lvl w:ilvl="1">
      <w:start w:val="1"/>
      <w:numFmt w:val="decimal"/>
      <w:isLgl w:val="false"/>
      <w:suff w:val="tab"/>
      <w:lvlText w:val="%1.%2."/>
      <w:lvlJc w:val="left"/>
      <w:pPr>
        <w:ind w:left="1965" w:hanging="1245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965" w:hanging="1245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965" w:hanging="1245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965" w:hanging="1245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16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2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52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80" w:hanging="216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004" w:hanging="360"/>
        <w:tabs>
          <w:tab w:val="num" w:pos="1004" w:leader="none"/>
        </w:tabs>
      </w:pPr>
      <w:rPr>
        <w:rFonts w:ascii="Arial" w:hAnsi="Arial"/>
      </w:rPr>
    </w:lvl>
    <w:lvl w:ilvl="1">
      <w:start w:val="1"/>
      <w:numFmt w:val="bullet"/>
      <w:isLgl w:val="false"/>
      <w:suff w:val="tab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444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164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04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24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4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713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789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149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149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509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869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869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229" w:hanging="216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004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444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164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04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24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353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73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93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13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33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953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73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93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13" w:hanging="360"/>
      </w:pPr>
      <w:rPr>
        <w:rFonts w:ascii="Wingdings" w:hAnsi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713" w:hanging="360"/>
      </w:pPr>
      <w:rPr>
        <w:rFonts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433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153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873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593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313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033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753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473" w:hanging="360"/>
      </w:pPr>
      <w:rPr>
        <w:rFonts w:ascii="Wingdings" w:hAnsi="Wingdings"/>
      </w:rPr>
    </w:lvl>
  </w:abstractNum>
  <w:abstractNum w:abstractNumId="9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450" w:hanging="450"/>
      </w:pPr>
      <w:rPr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1429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207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054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</w:p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713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-"/>
      <w:lvlJc w:val="left"/>
      <w:pPr>
        <w:ind w:left="2433" w:hanging="360"/>
      </w:pPr>
      <w:rPr>
        <w:rFonts w:ascii="Arial" w:hAnsi="Arial"/>
      </w:rPr>
    </w:lvl>
    <w:lvl w:ilvl="2">
      <w:start w:val="1"/>
      <w:numFmt w:val="bullet"/>
      <w:isLgl w:val="false"/>
      <w:suff w:val="tab"/>
      <w:lvlText w:val=""/>
      <w:lvlJc w:val="left"/>
      <w:pPr>
        <w:ind w:left="3153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873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593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313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033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753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473" w:hanging="360"/>
      </w:pPr>
      <w:rPr>
        <w:rFonts w:ascii="Wingdings" w:hAnsi="Wingdings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3.%1."/>
      <w:lvlJc w:val="left"/>
      <w:pPr>
        <w:ind w:left="600" w:hanging="600"/>
      </w:pPr>
      <w:rPr>
        <w:rFonts w:ascii="Times New Roman" w:hAnsi="Times New Roman" w:cs="Times New Roman"/>
        <w:b w:val="0"/>
      </w:rPr>
    </w:lvl>
    <w:lvl w:ilvl="1">
      <w:start w:val="21"/>
      <w:numFmt w:val="decimal"/>
      <w:isLgl w:val="false"/>
      <w:suff w:val="tab"/>
      <w:lvlText w:val="%1.%2."/>
      <w:lvlJc w:val="left"/>
      <w:pPr>
        <w:ind w:left="72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004" w:hanging="360"/>
        <w:tabs>
          <w:tab w:val="num" w:pos="1004" w:leader="none"/>
        </w:tabs>
      </w:pPr>
      <w:rPr>
        <w:rFonts w:ascii="Arial" w:hAnsi="Arial"/>
      </w:rPr>
    </w:lvl>
    <w:lvl w:ilvl="1">
      <w:start w:val="1"/>
      <w:numFmt w:val="bullet"/>
      <w:isLgl w:val="false"/>
      <w:suff w:val="tab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444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164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04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24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13">
    <w:multiLevelType w:val="hybridMultilevel"/>
    <w:lvl w:ilvl="0">
      <w:start w:val="1"/>
      <w:numFmt w:val="bullet"/>
      <w:pStyle w:val="723"/>
      <w:isLgl w:val="false"/>
      <w:suff w:val="tab"/>
      <w:lvlText w:val=""/>
      <w:lvlJc w:val="left"/>
      <w:pPr>
        <w:ind w:left="1429" w:hanging="360"/>
        <w:tabs>
          <w:tab w:val="num" w:pos="1429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  <w:tabs>
          <w:tab w:val="num" w:pos="2149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  <w:tabs>
          <w:tab w:val="num" w:pos="2869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  <w:tabs>
          <w:tab w:val="num" w:pos="3589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  <w:tabs>
          <w:tab w:val="num" w:pos="4309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  <w:tabs>
          <w:tab w:val="num" w:pos="5029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  <w:tabs>
          <w:tab w:val="num" w:pos="5749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  <w:tabs>
          <w:tab w:val="num" w:pos="6469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  <w:tabs>
          <w:tab w:val="num" w:pos="7189" w:leader="none"/>
        </w:tabs>
      </w:pPr>
      <w:rPr>
        <w:rFonts w:ascii="Wingdings" w:hAnsi="Wingdings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419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491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563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635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707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779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851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9239" w:hanging="180"/>
      </w:p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720" w:hanging="360"/>
        <w:tabs>
          <w:tab w:val="num" w:pos="720" w:leader="none"/>
        </w:tabs>
      </w:pPr>
      <w:rPr>
        <w:rFonts w:ascii="Wingdings" w:hAnsi="Wingdings"/>
      </w:rPr>
    </w:lvl>
    <w:lvl w:ilvl="1">
      <w:start w:val="1"/>
      <w:numFmt w:val="bullet"/>
      <w:isLgl w:val="false"/>
      <w:suff w:val="tab"/>
      <w:lvlText w:val=""/>
      <w:lvlJc w:val="left"/>
      <w:pPr>
        <w:ind w:left="1440" w:hanging="360"/>
        <w:tabs>
          <w:tab w:val="num" w:pos="1440" w:leader="none"/>
        </w:tabs>
      </w:pPr>
      <w:rPr>
        <w:rFonts w:ascii="Wingdings" w:hAnsi="Wingdings"/>
      </w:rPr>
    </w:lvl>
    <w:lvl w:ilvl="2">
      <w:start w:val="1"/>
      <w:numFmt w:val="bullet"/>
      <w:isLgl w:val="false"/>
      <w:suff w:val="tab"/>
      <w:lvlText w:val="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"/>
      <w:lvlJc w:val="left"/>
      <w:pPr>
        <w:ind w:left="2880" w:hanging="360"/>
        <w:tabs>
          <w:tab w:val="num" w:pos="2880" w:leader="none"/>
        </w:tabs>
      </w:pPr>
      <w:rPr>
        <w:rFonts w:ascii="Wingdings" w:hAnsi="Wingdings"/>
      </w:rPr>
    </w:lvl>
    <w:lvl w:ilvl="4">
      <w:start w:val="1"/>
      <w:numFmt w:val="bullet"/>
      <w:isLgl w:val="false"/>
      <w:suff w:val="tab"/>
      <w:lvlText w:val=""/>
      <w:lvlJc w:val="left"/>
      <w:pPr>
        <w:ind w:left="3600" w:hanging="360"/>
        <w:tabs>
          <w:tab w:val="num" w:pos="3600" w:leader="none"/>
        </w:tabs>
      </w:pPr>
      <w:rPr>
        <w:rFonts w:ascii="Wingdings" w:hAnsi="Wingdings"/>
      </w:rPr>
    </w:lvl>
    <w:lvl w:ilvl="5">
      <w:start w:val="1"/>
      <w:numFmt w:val="bullet"/>
      <w:isLgl w:val="false"/>
      <w:suff w:val="tab"/>
      <w:lvlText w:val="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"/>
      <w:lvlJc w:val="left"/>
      <w:pPr>
        <w:ind w:left="5040" w:hanging="360"/>
        <w:tabs>
          <w:tab w:val="num" w:pos="5040" w:leader="none"/>
        </w:tabs>
      </w:pPr>
      <w:rPr>
        <w:rFonts w:ascii="Wingdings" w:hAnsi="Wingdings"/>
      </w:rPr>
    </w:lvl>
    <w:lvl w:ilvl="7">
      <w:start w:val="1"/>
      <w:numFmt w:val="bullet"/>
      <w:isLgl w:val="false"/>
      <w:suff w:val="tab"/>
      <w:lvlText w:val=""/>
      <w:lvlJc w:val="left"/>
      <w:pPr>
        <w:ind w:left="5760" w:hanging="360"/>
        <w:tabs>
          <w:tab w:val="num" w:pos="5760" w:leader="none"/>
        </w:tabs>
      </w:pPr>
      <w:rPr>
        <w:rFonts w:ascii="Wingdings" w:hAnsi="Wingdings"/>
      </w:rPr>
    </w:lvl>
    <w:lvl w:ilvl="8">
      <w:start w:val="1"/>
      <w:numFmt w:val="bullet"/>
      <w:isLgl w:val="false"/>
      <w:suff w:val="tab"/>
      <w:lvlText w:val="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</w:rPr>
    </w:lvl>
  </w:abstractNum>
  <w:abstractNum w:abstractNumId="16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600" w:hanging="600"/>
      </w:pPr>
      <w:rPr>
        <w:b/>
      </w:rPr>
    </w:lvl>
    <w:lvl w:ilvl="1">
      <w:start w:val="21"/>
      <w:numFmt w:val="decimal"/>
      <w:isLgl w:val="false"/>
      <w:suff w:val="tab"/>
      <w:lvlText w:val="%1.%2."/>
      <w:lvlJc w:val="left"/>
      <w:pPr>
        <w:ind w:left="1288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</w:lvl>
  </w:abstractNum>
  <w:abstractNum w:abstractNumId="17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502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  <w:tabs>
          <w:tab w:val="num" w:pos="18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  <w:tabs>
          <w:tab w:val="num" w:pos="252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  <w:tabs>
          <w:tab w:val="num" w:pos="324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  <w:tabs>
          <w:tab w:val="num" w:pos="39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  <w:tabs>
          <w:tab w:val="num" w:pos="468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  <w:tabs>
          <w:tab w:val="num" w:pos="540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  <w:tabs>
          <w:tab w:val="num" w:pos="6120" w:leader="none"/>
        </w:tabs>
      </w:pPr>
    </w:lvl>
  </w:abstractNum>
  <w:abstractNum w:abstractNumId="19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0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decimal"/>
      <w:isLgl w:val="false"/>
      <w:suff w:val="tab"/>
      <w:lvlText w:val="4.1.%2."/>
      <w:lvlJc w:val="left"/>
      <w:pPr>
        <w:ind w:left="1997" w:hanging="720"/>
      </w:pPr>
      <w:rPr>
        <w:rFonts w:ascii="Times New Roman" w:hAnsi="Times New Roman"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789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149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149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509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869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869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229" w:hanging="2160"/>
      </w:p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004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444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164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04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24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350" w:hanging="1350"/>
      </w:pPr>
    </w:lvl>
    <w:lvl w:ilvl="1">
      <w:start w:val="1"/>
      <w:numFmt w:val="decimal"/>
      <w:isLgl w:val="false"/>
      <w:suff w:val="tab"/>
      <w:lvlText w:val="%1.%2."/>
      <w:lvlJc w:val="left"/>
      <w:pPr>
        <w:ind w:left="2059" w:hanging="135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768" w:hanging="135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477" w:hanging="135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4186" w:hanging="135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054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</w:pPr>
    </w:lvl>
  </w:abstractNum>
  <w:abstractNum w:abstractNumId="23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2137" w:hanging="720"/>
      </w:pPr>
    </w:lvl>
    <w:lvl w:ilvl="1">
      <w:start w:val="1"/>
      <w:numFmt w:val="lowerLetter"/>
      <w:isLgl w:val="false"/>
      <w:suff w:val="tab"/>
      <w:lvlText w:val="%2."/>
      <w:lvlJc w:val="left"/>
      <w:pPr>
        <w:ind w:left="249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1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93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65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37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09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1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537" w:hanging="180"/>
      </w:pPr>
    </w:lvl>
  </w:abstractNum>
  <w:abstractNum w:abstractNumId="24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1429" w:hanging="360"/>
        <w:tabs>
          <w:tab w:val="num" w:pos="1429" w:leader="none"/>
        </w:tabs>
      </w:pPr>
      <w:rPr>
        <w:rFonts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004" w:hanging="360"/>
        <w:tabs>
          <w:tab w:val="num" w:pos="1004" w:leader="none"/>
        </w:tabs>
      </w:pPr>
      <w:rPr>
        <w:rFonts w:ascii="Arial" w:hAnsi="Arial"/>
      </w:rPr>
    </w:lvl>
    <w:lvl w:ilvl="1">
      <w:start w:val="1"/>
      <w:numFmt w:val="bullet"/>
      <w:isLgl w:val="false"/>
      <w:suff w:val="tab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444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164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04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24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3.%1."/>
      <w:lvlJc w:val="left"/>
      <w:pPr>
        <w:ind w:left="600" w:hanging="600"/>
      </w:pPr>
      <w:rPr>
        <w:rFonts w:ascii="Times New Roman" w:hAnsi="Times New Roman" w:cs="Times New Roman"/>
        <w:b w:val="0"/>
      </w:rPr>
    </w:lvl>
    <w:lvl w:ilvl="1">
      <w:start w:val="21"/>
      <w:numFmt w:val="decimal"/>
      <w:isLgl w:val="false"/>
      <w:suff w:val="tab"/>
      <w:lvlText w:val="%1.%2."/>
      <w:lvlJc w:val="left"/>
      <w:pPr>
        <w:ind w:left="72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90" w:hanging="360"/>
      </w:pPr>
      <w:rPr>
        <w:b w:val="0"/>
      </w:rPr>
    </w:lvl>
    <w:lvl w:ilvl="1">
      <w:start w:val="3"/>
      <w:numFmt w:val="decimal"/>
      <w:isLgl w:val="false"/>
      <w:suff w:val="tab"/>
      <w:lvlText w:val="%1.%2."/>
      <w:lvlJc w:val="left"/>
      <w:pPr>
        <w:ind w:left="145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45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81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1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17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3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53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90" w:hanging="216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3.%1."/>
      <w:lvlJc w:val="left"/>
      <w:pPr>
        <w:ind w:left="720" w:hanging="360"/>
      </w:pPr>
      <w:rPr>
        <w:rFonts w:ascii="Times New Roman" w:hAnsi="Times New Roman" w:cs="Times New Roman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353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73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9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1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3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95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7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9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13" w:hanging="180"/>
      </w:pPr>
    </w:lvl>
  </w:abstractNum>
  <w:abstractNum w:abstractNumId="31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17" w:hanging="675"/>
      </w:pPr>
    </w:lvl>
    <w:lvl w:ilvl="1">
      <w:start w:val="2"/>
      <w:numFmt w:val="decimal"/>
      <w:isLgl w:val="false"/>
      <w:suff w:val="tab"/>
      <w:lvlText w:val="%1.%2."/>
      <w:lvlJc w:val="left"/>
      <w:pPr>
        <w:ind w:left="1085" w:hanging="720"/>
      </w:pPr>
      <w:rPr>
        <w:b w:val="0"/>
      </w:rPr>
    </w:lvl>
    <w:lvl w:ilvl="2">
      <w:start w:val="2"/>
      <w:numFmt w:val="decimal"/>
      <w:isLgl w:val="false"/>
      <w:suff w:val="tab"/>
      <w:lvlText w:val="%1.%2.%3."/>
      <w:lvlJc w:val="left"/>
      <w:pPr>
        <w:ind w:left="1855" w:hanging="720"/>
      </w:pPr>
      <w:rPr>
        <w:b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175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54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265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99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355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080" w:hanging="2160"/>
      </w:pPr>
    </w:lvl>
  </w:abstractNum>
  <w:abstractNum w:abstractNumId="3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713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433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153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873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593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313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033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753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473" w:hanging="360"/>
      </w:pPr>
      <w:rPr>
        <w:rFonts w:ascii="Wingdings" w:hAnsi="Wingdings"/>
      </w:rPr>
    </w:lvl>
  </w:abstractNum>
  <w:abstractNum w:abstractNumId="3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713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433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153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873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593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313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033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753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473" w:hanging="360"/>
      </w:pPr>
      <w:rPr>
        <w:rFonts w:ascii="Wingdings" w:hAnsi="Wingdings"/>
      </w:rPr>
    </w:lvl>
  </w:abstractNum>
  <w:abstractNum w:abstractNumId="3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004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444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164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04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24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37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600" w:hanging="600"/>
      </w:pPr>
    </w:lvl>
    <w:lvl w:ilvl="1">
      <w:start w:val="18"/>
      <w:numFmt w:val="decimal"/>
      <w:isLgl w:val="false"/>
      <w:suff w:val="tab"/>
      <w:lvlText w:val="%1.%2."/>
      <w:lvlJc w:val="left"/>
      <w:pPr>
        <w:ind w:left="1429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207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054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</w:pPr>
    </w:lvl>
  </w:abstractNum>
  <w:abstractNum w:abstractNumId="38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004" w:hanging="360"/>
        <w:tabs>
          <w:tab w:val="num" w:pos="1004" w:leader="none"/>
        </w:tabs>
      </w:pPr>
      <w:rPr>
        <w:rFonts w:ascii="Arial" w:hAnsi="Arial"/>
      </w:rPr>
    </w:lvl>
    <w:lvl w:ilvl="1">
      <w:start w:val="1"/>
      <w:numFmt w:val="bullet"/>
      <w:isLgl w:val="false"/>
      <w:suff w:val="tab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444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164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04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24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3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/>
        <w:b w:val="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</w:rPr>
    </w:lvl>
  </w:abstractNum>
  <w:abstractNum w:abstractNumId="4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004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444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164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04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24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4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3"/>
  </w:num>
  <w:num w:numId="3">
    <w:abstractNumId w:val="39"/>
  </w:num>
  <w:num w:numId="4">
    <w:abstractNumId w:val="2"/>
  </w:num>
  <w:num w:numId="5">
    <w:abstractNumId w:val="28"/>
  </w:num>
  <w:num w:numId="6">
    <w:abstractNumId w:val="32"/>
  </w:num>
  <w:num w:numId="7">
    <w:abstractNumId w:val="22"/>
  </w:num>
  <w:num w:numId="8">
    <w:abstractNumId w:val="4"/>
  </w:num>
  <w:num w:numId="9">
    <w:abstractNumId w:val="20"/>
  </w:num>
  <w:num w:numId="10">
    <w:abstractNumId w:val="37"/>
  </w:num>
  <w:num w:numId="11">
    <w:abstractNumId w:val="16"/>
  </w:num>
  <w:num w:numId="12">
    <w:abstractNumId w:val="11"/>
  </w:num>
  <w:num w:numId="13">
    <w:abstractNumId w:val="27"/>
  </w:num>
  <w:num w:numId="14">
    <w:abstractNumId w:val="29"/>
  </w:num>
  <w:num w:numId="15">
    <w:abstractNumId w:val="9"/>
  </w:num>
  <w:num w:numId="16">
    <w:abstractNumId w:val="18"/>
  </w:num>
  <w:num w:numId="17">
    <w:abstractNumId w:val="33"/>
  </w:num>
  <w:num w:numId="18">
    <w:abstractNumId w:val="5"/>
  </w:num>
  <w:num w:numId="19">
    <w:abstractNumId w:val="14"/>
  </w:num>
  <w:num w:numId="20">
    <w:abstractNumId w:val="42"/>
  </w:num>
  <w:num w:numId="21">
    <w:abstractNumId w:val="15"/>
  </w:num>
  <w:num w:numId="22">
    <w:abstractNumId w:val="25"/>
  </w:num>
  <w:num w:numId="23">
    <w:abstractNumId w:val="31"/>
  </w:num>
  <w:num w:numId="24">
    <w:abstractNumId w:val="8"/>
  </w:num>
  <w:num w:numId="25">
    <w:abstractNumId w:val="40"/>
  </w:num>
  <w:num w:numId="26">
    <w:abstractNumId w:val="35"/>
  </w:num>
  <w:num w:numId="27">
    <w:abstractNumId w:val="41"/>
  </w:num>
  <w:num w:numId="28">
    <w:abstractNumId w:val="34"/>
  </w:num>
  <w:num w:numId="29">
    <w:abstractNumId w:val="24"/>
  </w:num>
  <w:num w:numId="30">
    <w:abstractNumId w:val="10"/>
  </w:num>
  <w:num w:numId="31">
    <w:abstractNumId w:val="30"/>
  </w:num>
  <w:num w:numId="32">
    <w:abstractNumId w:val="7"/>
  </w:num>
  <w:num w:numId="33">
    <w:abstractNumId w:val="36"/>
  </w:num>
  <w:num w:numId="34">
    <w:abstractNumId w:val="6"/>
  </w:num>
  <w:num w:numId="35">
    <w:abstractNumId w:val="21"/>
  </w:num>
  <w:num w:numId="36">
    <w:abstractNumId w:val="3"/>
  </w:num>
  <w:num w:numId="37">
    <w:abstractNumId w:val="1"/>
  </w:num>
  <w:num w:numId="38">
    <w:abstractNumId w:val="26"/>
  </w:num>
  <w:num w:numId="39">
    <w:abstractNumId w:val="12"/>
  </w:num>
  <w:num w:numId="40">
    <w:abstractNumId w:val="38"/>
  </w:num>
  <w:num w:numId="41">
    <w:abstractNumId w:val="23"/>
  </w:num>
  <w:num w:numId="42">
    <w:abstractNumId w:val="19"/>
  </w:num>
  <w:num w:numId="4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703"/>
    <w:next w:val="703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703"/>
    <w:next w:val="703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703"/>
    <w:next w:val="703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703"/>
    <w:next w:val="703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703"/>
    <w:next w:val="703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703"/>
    <w:next w:val="703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03"/>
    <w:next w:val="70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03"/>
    <w:next w:val="70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03"/>
    <w:next w:val="70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703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703"/>
    <w:next w:val="703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703"/>
    <w:next w:val="703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703"/>
    <w:next w:val="70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703"/>
    <w:next w:val="70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703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703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703"/>
    <w:next w:val="70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70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70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703"/>
    <w:next w:val="70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703"/>
    <w:next w:val="70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703"/>
    <w:next w:val="70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703"/>
    <w:next w:val="70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703"/>
    <w:next w:val="70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703"/>
    <w:next w:val="70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703"/>
    <w:next w:val="70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703"/>
    <w:next w:val="70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703"/>
    <w:next w:val="70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703"/>
    <w:next w:val="703"/>
    <w:uiPriority w:val="99"/>
    <w:unhideWhenUsed/>
    <w:pPr>
      <w:spacing w:after="0" w:afterAutospacing="0"/>
    </w:pPr>
  </w:style>
  <w:style w:type="paragraph" w:styleId="703" w:default="1">
    <w:name w:val="Normal"/>
    <w:next w:val="703"/>
    <w:link w:val="703"/>
    <w:qFormat/>
    <w:rPr>
      <w:sz w:val="24"/>
      <w:szCs w:val="24"/>
      <w:lang w:val="ru-RU" w:eastAsia="ru-RU" w:bidi="ar-SA"/>
    </w:rPr>
  </w:style>
  <w:style w:type="paragraph" w:styleId="704">
    <w:name w:val="Заголовок 1"/>
    <w:basedOn w:val="703"/>
    <w:next w:val="703"/>
    <w:link w:val="740"/>
    <w:qFormat/>
    <w:pPr>
      <w:keepNext/>
      <w:spacing w:before="240" w:after="60"/>
      <w:outlineLvl w:val="0"/>
    </w:pPr>
    <w:rPr>
      <w:rFonts w:ascii="Calibri Light" w:hAnsi="Calibri Light" w:eastAsia="Times New Roman" w:cs="Times New Roman"/>
      <w:b/>
      <w:bCs/>
      <w:sz w:val="32"/>
      <w:szCs w:val="32"/>
    </w:rPr>
  </w:style>
  <w:style w:type="paragraph" w:styleId="705">
    <w:name w:val="Заголовок 2"/>
    <w:basedOn w:val="703"/>
    <w:next w:val="703"/>
    <w:link w:val="731"/>
    <w:semiHidden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706">
    <w:name w:val="Заголовок 6"/>
    <w:basedOn w:val="703"/>
    <w:next w:val="703"/>
    <w:link w:val="721"/>
    <w:qFormat/>
    <w:pPr>
      <w:spacing w:before="240" w:after="60"/>
      <w:outlineLvl w:val="5"/>
    </w:pPr>
    <w:rPr>
      <w:b/>
      <w:bCs/>
      <w:sz w:val="22"/>
      <w:szCs w:val="22"/>
      <w:lang w:val="en-US" w:eastAsia="en-US"/>
    </w:rPr>
  </w:style>
  <w:style w:type="character" w:styleId="707">
    <w:name w:val="Основной шрифт абзаца"/>
    <w:next w:val="707"/>
    <w:link w:val="703"/>
    <w:semiHidden/>
  </w:style>
  <w:style w:type="table" w:styleId="708">
    <w:name w:val="Обычная таблица"/>
    <w:next w:val="708"/>
    <w:link w:val="703"/>
    <w:semiHidden/>
    <w:tblPr/>
  </w:style>
  <w:style w:type="numbering" w:styleId="709">
    <w:name w:val="Нет списка"/>
    <w:next w:val="709"/>
    <w:link w:val="703"/>
    <w:semiHidden/>
  </w:style>
  <w:style w:type="paragraph" w:styleId="710">
    <w:name w:val="Default"/>
    <w:next w:val="710"/>
    <w:link w:val="703"/>
    <w:rPr>
      <w:color w:val="000000"/>
      <w:sz w:val="24"/>
      <w:szCs w:val="24"/>
      <w:lang w:val="ru-RU" w:eastAsia="ru-RU" w:bidi="ar-SA"/>
    </w:rPr>
  </w:style>
  <w:style w:type="character" w:styleId="711">
    <w:name w:val="Строгий"/>
    <w:next w:val="711"/>
    <w:link w:val="703"/>
    <w:uiPriority w:val="22"/>
    <w:qFormat/>
    <w:rPr>
      <w:b/>
      <w:bCs/>
    </w:rPr>
  </w:style>
  <w:style w:type="paragraph" w:styleId="712">
    <w:name w:val="Обычный (веб)"/>
    <w:basedOn w:val="703"/>
    <w:next w:val="712"/>
    <w:link w:val="703"/>
    <w:pPr>
      <w:spacing w:before="100" w:beforeAutospacing="1" w:after="100" w:afterAutospacing="1"/>
    </w:pPr>
    <w:rPr>
      <w:rFonts w:ascii="Tahoma" w:hAnsi="Tahoma" w:cs="Tahoma"/>
      <w:color w:val="6a696a"/>
      <w:sz w:val="17"/>
      <w:szCs w:val="17"/>
    </w:rPr>
  </w:style>
  <w:style w:type="paragraph" w:styleId="713">
    <w:name w:val="Знак1 Знак Знак Знак Знак Знак Знак"/>
    <w:basedOn w:val="703"/>
    <w:next w:val="713"/>
    <w:link w:val="70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714">
    <w:name w:val="Char Char Знак Знак Знак Знак Знак Знак Знак Знак Знак Знак"/>
    <w:basedOn w:val="703"/>
    <w:next w:val="714"/>
    <w:link w:val="70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715">
    <w:name w:val="Верхний колонтитул"/>
    <w:basedOn w:val="703"/>
    <w:next w:val="715"/>
    <w:link w:val="716"/>
    <w:uiPriority w:val="99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716">
    <w:name w:val="Верхний колонтитул Знак"/>
    <w:next w:val="716"/>
    <w:link w:val="715"/>
    <w:uiPriority w:val="99"/>
    <w:rPr>
      <w:sz w:val="24"/>
      <w:szCs w:val="24"/>
    </w:rPr>
  </w:style>
  <w:style w:type="paragraph" w:styleId="717">
    <w:name w:val="Нижний колонтитул"/>
    <w:basedOn w:val="703"/>
    <w:next w:val="717"/>
    <w:link w:val="718"/>
    <w:uiPriority w:val="99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718">
    <w:name w:val="Нижний колонтитул Знак"/>
    <w:next w:val="718"/>
    <w:link w:val="717"/>
    <w:uiPriority w:val="99"/>
    <w:rPr>
      <w:sz w:val="24"/>
      <w:szCs w:val="24"/>
    </w:rPr>
  </w:style>
  <w:style w:type="paragraph" w:styleId="719">
    <w:name w:val="text3cl"/>
    <w:basedOn w:val="703"/>
    <w:next w:val="719"/>
    <w:link w:val="703"/>
    <w:pPr>
      <w:spacing w:before="144" w:after="288"/>
    </w:pPr>
  </w:style>
  <w:style w:type="paragraph" w:styleId="720">
    <w:name w:val="Схема документа"/>
    <w:basedOn w:val="703"/>
    <w:next w:val="720"/>
    <w:link w:val="703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721">
    <w:name w:val="Заголовок 6 Знак"/>
    <w:next w:val="721"/>
    <w:link w:val="706"/>
    <w:rPr>
      <w:b/>
      <w:bCs/>
      <w:sz w:val="22"/>
      <w:szCs w:val="22"/>
    </w:rPr>
  </w:style>
  <w:style w:type="paragraph" w:styleId="722">
    <w:name w:val="заголовок 1"/>
    <w:basedOn w:val="703"/>
    <w:next w:val="703"/>
    <w:link w:val="703"/>
    <w:pPr>
      <w:keepNext/>
    </w:pPr>
    <w:rPr>
      <w:b/>
      <w:bCs/>
      <w:sz w:val="20"/>
      <w:szCs w:val="20"/>
    </w:rPr>
  </w:style>
  <w:style w:type="paragraph" w:styleId="723">
    <w:name w:val="перечисление"/>
    <w:basedOn w:val="703"/>
    <w:next w:val="703"/>
    <w:link w:val="703"/>
    <w:pPr>
      <w:numPr>
        <w:ilvl w:val="0"/>
        <w:numId w:val="2"/>
      </w:numPr>
      <w:ind w:left="0" w:firstLine="0"/>
      <w:jc w:val="both"/>
      <w:spacing w:line="223" w:lineRule="auto"/>
      <w:tabs>
        <w:tab w:val="num" w:pos="360" w:leader="none"/>
        <w:tab w:val="clear" w:pos="1429" w:leader="none"/>
      </w:tabs>
    </w:pPr>
    <w:rPr>
      <w:szCs w:val="28"/>
    </w:rPr>
  </w:style>
  <w:style w:type="table" w:styleId="724">
    <w:name w:val="Сетка таблицы"/>
    <w:basedOn w:val="708"/>
    <w:next w:val="724"/>
    <w:link w:val="703"/>
    <w:tblPr/>
  </w:style>
  <w:style w:type="paragraph" w:styleId="725">
    <w:name w:val="Основной текст"/>
    <w:basedOn w:val="703"/>
    <w:next w:val="725"/>
    <w:link w:val="726"/>
    <w:pPr>
      <w:spacing w:after="120"/>
    </w:pPr>
    <w:rPr>
      <w:lang w:val="en-US" w:eastAsia="en-US"/>
    </w:rPr>
  </w:style>
  <w:style w:type="character" w:styleId="726">
    <w:name w:val="Основной текст Знак"/>
    <w:next w:val="726"/>
    <w:link w:val="725"/>
    <w:rPr>
      <w:sz w:val="24"/>
      <w:szCs w:val="24"/>
    </w:rPr>
  </w:style>
  <w:style w:type="character" w:styleId="727">
    <w:name w:val="apple-converted-space"/>
    <w:basedOn w:val="707"/>
    <w:next w:val="727"/>
    <w:link w:val="703"/>
  </w:style>
  <w:style w:type="character" w:styleId="728">
    <w:name w:val="Выделение"/>
    <w:next w:val="728"/>
    <w:link w:val="703"/>
    <w:uiPriority w:val="20"/>
    <w:qFormat/>
    <w:rPr>
      <w:i/>
      <w:iCs/>
    </w:rPr>
  </w:style>
  <w:style w:type="character" w:styleId="729">
    <w:name w:val="Гиперссылка"/>
    <w:next w:val="729"/>
    <w:link w:val="703"/>
    <w:uiPriority w:val="99"/>
    <w:unhideWhenUsed/>
    <w:rPr>
      <w:color w:val="0000ff"/>
      <w:u w:val="single"/>
    </w:rPr>
  </w:style>
  <w:style w:type="character" w:styleId="730">
    <w:name w:val="c0"/>
    <w:next w:val="730"/>
    <w:link w:val="703"/>
    <w:rPr>
      <w:rFonts w:cs="Times New Roman"/>
    </w:rPr>
  </w:style>
  <w:style w:type="character" w:styleId="731">
    <w:name w:val="Заголовок 2 Знак"/>
    <w:next w:val="731"/>
    <w:link w:val="705"/>
    <w:semiHidden/>
    <w:rPr>
      <w:rFonts w:ascii="Cambria" w:hAnsi="Cambria" w:eastAsia="Times New Roman" w:cs="Times New Roman"/>
      <w:b/>
      <w:bCs/>
      <w:i/>
      <w:iCs/>
      <w:sz w:val="28"/>
      <w:szCs w:val="28"/>
    </w:rPr>
  </w:style>
  <w:style w:type="paragraph" w:styleId="732">
    <w:name w:val="Основной текст с отступом"/>
    <w:basedOn w:val="703"/>
    <w:next w:val="732"/>
    <w:link w:val="733"/>
    <w:pPr>
      <w:ind w:left="283"/>
      <w:spacing w:after="120"/>
    </w:pPr>
    <w:rPr>
      <w:lang w:val="en-US" w:eastAsia="en-US"/>
    </w:rPr>
  </w:style>
  <w:style w:type="character" w:styleId="733">
    <w:name w:val="Основной текст с отступом Знак"/>
    <w:next w:val="733"/>
    <w:link w:val="732"/>
    <w:rPr>
      <w:sz w:val="24"/>
      <w:szCs w:val="24"/>
    </w:rPr>
  </w:style>
  <w:style w:type="paragraph" w:styleId="734">
    <w:name w:val="Абзац списка"/>
    <w:basedOn w:val="703"/>
    <w:next w:val="734"/>
    <w:link w:val="703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 w:cs="Times New Roman"/>
      <w:sz w:val="22"/>
      <w:szCs w:val="22"/>
      <w:lang w:eastAsia="en-US"/>
    </w:rPr>
  </w:style>
  <w:style w:type="paragraph" w:styleId="735">
    <w:name w:val="Основной текст 21"/>
    <w:basedOn w:val="703"/>
    <w:next w:val="735"/>
    <w:link w:val="703"/>
    <w:pPr>
      <w:jc w:val="center"/>
    </w:pPr>
    <w:rPr>
      <w:rFonts w:ascii="Times New Roman CYR" w:hAnsi="Times New Roman CYR"/>
      <w:sz w:val="22"/>
      <w:szCs w:val="20"/>
      <w:lang w:eastAsia="ar-SA"/>
    </w:rPr>
  </w:style>
  <w:style w:type="paragraph" w:styleId="736">
    <w:name w:val="Текст"/>
    <w:basedOn w:val="703"/>
    <w:next w:val="736"/>
    <w:link w:val="737"/>
    <w:uiPriority w:val="99"/>
    <w:unhideWhenUsed/>
    <w:rPr>
      <w:rFonts w:ascii="Calibri" w:hAnsi="Calibri" w:eastAsia="Calibri"/>
      <w:sz w:val="22"/>
      <w:szCs w:val="21"/>
      <w:lang w:val="en-US" w:eastAsia="en-US"/>
    </w:rPr>
  </w:style>
  <w:style w:type="character" w:styleId="737">
    <w:name w:val="Текст Знак"/>
    <w:next w:val="737"/>
    <w:link w:val="736"/>
    <w:uiPriority w:val="99"/>
    <w:rPr>
      <w:rFonts w:ascii="Calibri" w:hAnsi="Calibri" w:eastAsia="Calibri"/>
      <w:sz w:val="22"/>
      <w:szCs w:val="21"/>
      <w:lang w:eastAsia="en-US"/>
    </w:rPr>
  </w:style>
  <w:style w:type="paragraph" w:styleId="738">
    <w:name w:val="Текст выноски"/>
    <w:basedOn w:val="703"/>
    <w:next w:val="738"/>
    <w:link w:val="739"/>
    <w:rPr>
      <w:rFonts w:ascii="Segoe UI" w:hAnsi="Segoe UI"/>
      <w:sz w:val="18"/>
      <w:szCs w:val="18"/>
      <w:lang w:val="en-US" w:eastAsia="en-US"/>
    </w:rPr>
  </w:style>
  <w:style w:type="character" w:styleId="739">
    <w:name w:val="Текст выноски Знак"/>
    <w:next w:val="739"/>
    <w:link w:val="738"/>
    <w:rPr>
      <w:rFonts w:ascii="Segoe UI" w:hAnsi="Segoe UI" w:cs="Segoe UI"/>
      <w:sz w:val="18"/>
      <w:szCs w:val="18"/>
    </w:rPr>
  </w:style>
  <w:style w:type="character" w:styleId="740">
    <w:name w:val="Заголовок 1 Знак"/>
    <w:next w:val="740"/>
    <w:link w:val="704"/>
    <w:rPr>
      <w:rFonts w:ascii="Calibri Light" w:hAnsi="Calibri Light" w:eastAsia="Times New Roman" w:cs="Times New Roman"/>
      <w:b/>
      <w:bCs/>
      <w:sz w:val="32"/>
      <w:szCs w:val="32"/>
    </w:rPr>
  </w:style>
  <w:style w:type="character" w:styleId="741">
    <w:name w:val="Знак примечания"/>
    <w:next w:val="741"/>
    <w:link w:val="703"/>
    <w:rPr>
      <w:sz w:val="16"/>
      <w:szCs w:val="16"/>
    </w:rPr>
  </w:style>
  <w:style w:type="paragraph" w:styleId="742">
    <w:name w:val="Текст примечания"/>
    <w:basedOn w:val="703"/>
    <w:next w:val="742"/>
    <w:link w:val="743"/>
    <w:rPr>
      <w:sz w:val="20"/>
      <w:szCs w:val="20"/>
    </w:rPr>
  </w:style>
  <w:style w:type="character" w:styleId="743">
    <w:name w:val="Текст примечания Знак"/>
    <w:basedOn w:val="707"/>
    <w:next w:val="743"/>
    <w:link w:val="742"/>
  </w:style>
  <w:style w:type="paragraph" w:styleId="744">
    <w:name w:val="Тема примечания"/>
    <w:basedOn w:val="742"/>
    <w:next w:val="742"/>
    <w:link w:val="745"/>
    <w:rPr>
      <w:b/>
      <w:bCs/>
    </w:rPr>
  </w:style>
  <w:style w:type="character" w:styleId="745">
    <w:name w:val="Тема примечания Знак"/>
    <w:next w:val="745"/>
    <w:link w:val="744"/>
    <w:rPr>
      <w:b/>
      <w:bCs/>
    </w:rPr>
  </w:style>
  <w:style w:type="character" w:styleId="1178" w:default="1">
    <w:name w:val="Default Paragraph Font"/>
    <w:uiPriority w:val="1"/>
    <w:semiHidden/>
    <w:unhideWhenUsed/>
  </w:style>
  <w:style w:type="numbering" w:styleId="1179" w:default="1">
    <w:name w:val="No List"/>
    <w:uiPriority w:val="99"/>
    <w:semiHidden/>
    <w:unhideWhenUsed/>
  </w:style>
  <w:style w:type="table" w:styleId="1180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emf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Р7-Офис/2024.2.1.466</Application>
  <Company>Reanimator Extreme Edition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Соловьева</dc:creator>
  <cp:revision>3</cp:revision>
  <dcterms:created xsi:type="dcterms:W3CDTF">2025-03-31T09:39:00Z</dcterms:created>
  <dcterms:modified xsi:type="dcterms:W3CDTF">2025-03-31T10:09:04Z</dcterms:modified>
  <cp:version>1048576</cp:version>
</cp:coreProperties>
</file>